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075C23" w:rsidRDefault="00DA4EFA" w:rsidP="002B520B">
      <w:pPr>
        <w:pStyle w:val="Heading2"/>
        <w:rPr>
          <w:rFonts w:asciiTheme="minorHAnsi" w:hAnsiTheme="minorHAnsi" w:cstheme="minorHAnsi"/>
        </w:rPr>
      </w:pPr>
      <w:r>
        <w:t>Queen Camel Medical Centre</w:t>
      </w:r>
      <w:r w:rsidR="001A6920" w:rsidRPr="00061A0A">
        <w:t xml:space="preserve"> – </w:t>
      </w:r>
      <w:r w:rsidR="002B520B" w:rsidRPr="00075C23">
        <w:rPr>
          <w:rFonts w:asciiTheme="minorHAnsi" w:hAnsiTheme="minorHAnsi" w:cstheme="minorHAnsi"/>
        </w:rPr>
        <w:t>Your information, what you need to know</w:t>
      </w:r>
    </w:p>
    <w:p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r w:rsidRPr="00061A0A">
        <w:rPr>
          <w:rFonts w:eastAsia="Calibri" w:cstheme="minorHAnsi"/>
          <w:bCs/>
        </w:rPr>
        <w:t xml:space="preserve">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 xml:space="preserve">reed is necessary to include.  </w:t>
      </w:r>
    </w:p>
    <w:p w:rsidR="00537DE0" w:rsidRDefault="00537DE0" w:rsidP="000D17EA">
      <w:pPr>
        <w:spacing w:after="0" w:line="240" w:lineRule="auto"/>
        <w:rPr>
          <w:rFonts w:eastAsia="Calibri" w:cstheme="minorHAnsi"/>
          <w:bCs/>
        </w:rPr>
      </w:pPr>
    </w:p>
    <w:p w:rsidR="00042204" w:rsidRDefault="00537DE0" w:rsidP="000D17EA">
      <w:pPr>
        <w:spacing w:after="0" w:line="240" w:lineRule="auto"/>
      </w:pPr>
      <w:r>
        <w:rPr>
          <w:rFonts w:eastAsia="Calibri" w:cstheme="minorHAnsi"/>
          <w:bCs/>
        </w:rPr>
        <w:t xml:space="preserve">For more information about shared care records, please go to </w:t>
      </w:r>
      <w:hyperlink r:id="rId9" w:history="1">
        <w:r w:rsidR="009443E5" w:rsidRPr="000E1045">
          <w:rPr>
            <w:rStyle w:val="Hyperlink"/>
          </w:rPr>
          <w:t>https://www.somersetccg.nhs.uk/about-us/digital-projects/sider/</w:t>
        </w:r>
      </w:hyperlink>
    </w:p>
    <w:p w:rsidR="000D17EA" w:rsidRPr="007415BB" w:rsidRDefault="000D17EA" w:rsidP="000D17EA">
      <w:pPr>
        <w:spacing w:after="0" w:line="240" w:lineRule="auto"/>
        <w:rPr>
          <w:rFonts w:ascii="Times New Roman" w:eastAsia="Times New Roman" w:hAnsi="Times New Roman" w:cs="Times New Roman"/>
          <w:sz w:val="24"/>
          <w:szCs w:val="24"/>
          <w:lang w:eastAsia="en-GB"/>
        </w:rPr>
      </w:pP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A2606" w:rsidRDefault="006A2606" w:rsidP="000D17EA">
      <w:pPr>
        <w:pStyle w:val="NoSpacing"/>
        <w:jc w:val="both"/>
        <w:rPr>
          <w:rFonts w:cstheme="minorHAnsi"/>
          <w:shd w:val="clear" w:color="auto" w:fill="FFFFFF"/>
        </w:rPr>
      </w:pPr>
    </w:p>
    <w:p w:rsidR="00203578" w:rsidRPr="006A2606" w:rsidRDefault="00203578"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r>
        <w:rPr>
          <w:rFonts w:cstheme="minorHAnsi"/>
          <w:b/>
          <w:shd w:val="clear" w:color="auto" w:fill="FFFFFF"/>
        </w:rPr>
        <w:lastRenderedPageBreak/>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10" w:history="1">
        <w:r w:rsidR="003C5610" w:rsidRPr="001316AF">
          <w:rPr>
            <w:rStyle w:val="Hyperlink"/>
            <w:rFonts w:asciiTheme="minorHAnsi" w:hAnsiTheme="minorHAnsi" w:cstheme="minorHAnsi"/>
            <w:sz w:val="22"/>
            <w:szCs w:val="22"/>
          </w:rPr>
          <w:t>https://www.nhs.uk/conditions/nhs-screening/</w:t>
        </w:r>
      </w:hyperlink>
      <w:r w:rsidR="003C5610">
        <w:rPr>
          <w:rFonts w:asciiTheme="minorHAnsi" w:hAnsiTheme="minorHAnsi" w:cstheme="minorHAnsi"/>
          <w:sz w:val="22"/>
          <w:szCs w:val="22"/>
        </w:rPr>
        <w:t xml:space="preserve">) </w:t>
      </w:r>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1" w:history="1">
        <w:r w:rsidRPr="007569D2">
          <w:rPr>
            <w:rStyle w:val="Hyperlink"/>
            <w:rFonts w:cstheme="minorHAnsi"/>
          </w:rPr>
          <w:t>The NHS Constitution</w:t>
        </w:r>
      </w:hyperlink>
      <w:r w:rsidRPr="00075C23">
        <w:rPr>
          <w:rFonts w:cstheme="minorHAnsi"/>
        </w:rPr>
        <w:t xml:space="preserve"> </w:t>
      </w:r>
    </w:p>
    <w:p w:rsidR="009443E5" w:rsidRDefault="009443E5" w:rsidP="005A337A">
      <w:pPr>
        <w:spacing w:after="0" w:line="240" w:lineRule="auto"/>
        <w:rPr>
          <w:rFonts w:cstheme="minorHAnsi"/>
          <w:b/>
        </w:rPr>
      </w:pPr>
    </w:p>
    <w:p w:rsidR="00DA4EFA" w:rsidRDefault="00DA4EFA" w:rsidP="005A337A">
      <w:pPr>
        <w:spacing w:after="0" w:line="240" w:lineRule="auto"/>
        <w:rPr>
          <w:rFonts w:cstheme="minorHAnsi"/>
          <w:b/>
        </w:rPr>
      </w:pPr>
    </w:p>
    <w:p w:rsidR="00DA4EFA" w:rsidRDefault="00DA4EFA" w:rsidP="005A337A">
      <w:pPr>
        <w:spacing w:after="0" w:line="240" w:lineRule="auto"/>
        <w:rPr>
          <w:rFonts w:cstheme="minorHAnsi"/>
          <w:b/>
        </w:rPr>
      </w:pPr>
    </w:p>
    <w:p w:rsidR="00DA4EFA" w:rsidRDefault="00DA4EFA" w:rsidP="005A337A">
      <w:pPr>
        <w:spacing w:after="0" w:line="240" w:lineRule="auto"/>
        <w:rPr>
          <w:rFonts w:cstheme="minorHAnsi"/>
          <w:b/>
        </w:rPr>
      </w:pPr>
    </w:p>
    <w:p w:rsidR="005A337A" w:rsidRPr="00075C23" w:rsidRDefault="005A337A" w:rsidP="005A337A">
      <w:pPr>
        <w:spacing w:after="0" w:line="240" w:lineRule="auto"/>
        <w:rPr>
          <w:rFonts w:cstheme="minorHAnsi"/>
        </w:rPr>
      </w:pPr>
      <w:r w:rsidRPr="00075C23">
        <w:rPr>
          <w:rFonts w:cstheme="minorHAnsi"/>
          <w:b/>
        </w:rPr>
        <w:lastRenderedPageBreak/>
        <w:t>National data opt-out</w:t>
      </w:r>
      <w:r w:rsidRPr="00075C23">
        <w:rPr>
          <w:rFonts w:cstheme="minorHAnsi"/>
        </w:rPr>
        <w:t xml:space="preserve"> </w:t>
      </w:r>
    </w:p>
    <w:p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click here </w:t>
      </w:r>
      <w:hyperlink r:id="rId13" w:history="1">
        <w:r w:rsidR="00DA4EFA" w:rsidRPr="00B9112B">
          <w:rPr>
            <w:rStyle w:val="Hyperlink"/>
            <w:rFonts w:eastAsia="Calibri" w:cstheme="minorHAnsi"/>
          </w:rPr>
          <w:t>https://www.queencamelmedicalcentre.co.uk/</w:t>
        </w:r>
      </w:hyperlink>
      <w:r w:rsidR="00DA4EFA">
        <w:rPr>
          <w:rFonts w:eastAsia="Calibri" w:cstheme="minorHAnsi"/>
        </w:rPr>
        <w:t xml:space="preserve"> </w:t>
      </w:r>
    </w:p>
    <w:p w:rsidR="005A337A" w:rsidRPr="00075C23" w:rsidRDefault="005A337A" w:rsidP="005A337A">
      <w:pPr>
        <w:autoSpaceDE w:val="0"/>
        <w:autoSpaceDN w:val="0"/>
        <w:adjustRightInd w:val="0"/>
        <w:spacing w:after="0" w:line="240" w:lineRule="auto"/>
        <w:rPr>
          <w:rFonts w:eastAsia="Calibri" w:cstheme="minorHAnsi"/>
          <w:sz w:val="23"/>
          <w:szCs w:val="23"/>
        </w:rPr>
      </w:pP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5A337A" w:rsidRPr="00A779E7" w:rsidRDefault="005A337A" w:rsidP="005A337A">
      <w:pPr>
        <w:autoSpaceDE w:val="0"/>
        <w:autoSpaceDN w:val="0"/>
        <w:adjustRightInd w:val="0"/>
        <w:spacing w:after="0" w:line="240" w:lineRule="auto"/>
        <w:rPr>
          <w:rFonts w:cstheme="minorHAnsi"/>
          <w:b/>
          <w:szCs w:val="23"/>
        </w:rPr>
      </w:pPr>
      <w:bookmarkStart w:id="0" w:name="_GoBack"/>
      <w:bookmarkEnd w:id="0"/>
      <w:r w:rsidRPr="00A779E7">
        <w:rPr>
          <w:rFonts w:cstheme="minorHAnsi"/>
          <w:b/>
          <w:szCs w:val="23"/>
        </w:rPr>
        <w:t xml:space="preserve">Any changes to this notice will be published on our website and in a prominent area at the Practice. </w:t>
      </w:r>
    </w:p>
    <w:p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5A337A" w:rsidRPr="00545647" w:rsidRDefault="005A337A" w:rsidP="005A337A">
      <w:pPr>
        <w:pStyle w:val="NoSpacing"/>
        <w:rPr>
          <w:rFonts w:cstheme="minorHAnsi"/>
          <w:lang w:eastAsia="en-GB"/>
        </w:rPr>
      </w:pPr>
      <w:r w:rsidRPr="00545647">
        <w:rPr>
          <w:rFonts w:cstheme="minorHAnsi"/>
          <w:lang w:eastAsia="en-GB"/>
        </w:rPr>
        <w:t>Should you have any questions or concerns</w:t>
      </w:r>
      <w:r w:rsidR="00EF3FC5">
        <w:rPr>
          <w:rFonts w:cstheme="minorHAnsi"/>
          <w:lang w:eastAsia="en-GB"/>
        </w:rPr>
        <w:t xml:space="preserve"> about your data</w:t>
      </w:r>
      <w:r w:rsidRPr="00545647">
        <w:rPr>
          <w:rFonts w:cstheme="minorHAnsi"/>
          <w:lang w:eastAsia="en-GB"/>
        </w:rPr>
        <w:t>, please contac</w:t>
      </w:r>
      <w:r>
        <w:rPr>
          <w:rFonts w:cstheme="minorHAnsi"/>
          <w:lang w:eastAsia="en-GB"/>
        </w:rPr>
        <w:t>t our Data Protection Officer</w:t>
      </w:r>
      <w:r w:rsidRPr="00545647">
        <w:rPr>
          <w:rFonts w:cstheme="minorHAnsi"/>
          <w:lang w:eastAsia="en-GB"/>
        </w:rPr>
        <w:t xml:space="preserve">:  </w:t>
      </w:r>
    </w:p>
    <w:p w:rsidR="005A337A" w:rsidRPr="00545647" w:rsidRDefault="005A337A" w:rsidP="005A337A">
      <w:pPr>
        <w:pStyle w:val="NoSpacing"/>
        <w:rPr>
          <w:rFonts w:cstheme="minorHAnsi"/>
          <w:lang w:eastAsia="en-GB"/>
        </w:rPr>
      </w:pPr>
    </w:p>
    <w:p w:rsidR="005A337A" w:rsidRPr="00545647" w:rsidRDefault="005A337A" w:rsidP="005A337A">
      <w:pPr>
        <w:pStyle w:val="NoSpacing"/>
        <w:rPr>
          <w:rFonts w:cstheme="minorHAnsi"/>
          <w:lang w:eastAsia="en-GB"/>
        </w:rPr>
      </w:pPr>
      <w:r w:rsidRPr="00545647">
        <w:rPr>
          <w:rFonts w:cstheme="minorHAnsi"/>
          <w:lang w:eastAsia="en-GB"/>
        </w:rPr>
        <w:t xml:space="preserve">Telephone: </w:t>
      </w:r>
      <w:r w:rsidR="009840B6">
        <w:rPr>
          <w:rFonts w:cstheme="minorHAnsi"/>
          <w:lang w:eastAsia="en-GB"/>
        </w:rPr>
        <w:t>(practice main contact number)</w:t>
      </w:r>
    </w:p>
    <w:p w:rsidR="005A337A" w:rsidRPr="00075C23" w:rsidRDefault="005A337A" w:rsidP="005A337A">
      <w:pPr>
        <w:pStyle w:val="NoSpacing"/>
        <w:rPr>
          <w:rFonts w:cstheme="minorHAnsi"/>
          <w:sz w:val="10"/>
          <w:szCs w:val="10"/>
          <w:lang w:val="en"/>
        </w:rPr>
      </w:pPr>
      <w:r w:rsidRPr="00545647">
        <w:rPr>
          <w:rFonts w:cstheme="minorHAnsi"/>
          <w:lang w:eastAsia="en-GB"/>
        </w:rPr>
        <w:t xml:space="preserve">Email: </w:t>
      </w:r>
      <w:r w:rsidR="009840B6">
        <w:rPr>
          <w:rFonts w:cstheme="minorHAnsi"/>
          <w:lang w:eastAsia="en-GB"/>
        </w:rPr>
        <w:t>(INSERT as appropriate)</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DA4EFA">
        <w:rPr>
          <w:rFonts w:cstheme="minorHAnsi"/>
        </w:rPr>
        <w:t>Practice Manager</w:t>
      </w:r>
      <w:r w:rsidR="00DA4EFA" w:rsidRPr="00DA4EFA">
        <w:rPr>
          <w:rFonts w:cstheme="minorHAnsi"/>
        </w:rPr>
        <w:t>,</w:t>
      </w:r>
      <w:r w:rsidR="00DA4EFA">
        <w:rPr>
          <w:rFonts w:cstheme="minorHAnsi"/>
        </w:rPr>
        <w:t xml:space="preserve"> Linda </w:t>
      </w:r>
      <w:proofErr w:type="spellStart"/>
      <w:r w:rsidR="00DA4EFA">
        <w:rPr>
          <w:rFonts w:cstheme="minorHAnsi"/>
        </w:rPr>
        <w:t>Bickerton</w:t>
      </w:r>
      <w:proofErr w:type="spellEnd"/>
      <w:r w:rsidR="00DA4EFA">
        <w:rPr>
          <w:rFonts w:cstheme="minorHAnsi"/>
        </w:rPr>
        <w:t>, Queen Camel Medical Centre.</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Website: </w:t>
      </w:r>
      <w:hyperlink r:id="rId14" w:history="1">
        <w:r w:rsidRPr="006A0F49">
          <w:rPr>
            <w:rStyle w:val="Hyperlink"/>
            <w:rFonts w:cstheme="minorHAnsi"/>
          </w:rPr>
          <w:t>https://ico.org.uk/global/contact-us</w:t>
        </w:r>
      </w:hyperlink>
    </w:p>
    <w:p w:rsidR="005A337A" w:rsidRDefault="005A337A" w:rsidP="005A337A">
      <w:pPr>
        <w:autoSpaceDE w:val="0"/>
        <w:autoSpaceDN w:val="0"/>
        <w:adjustRightInd w:val="0"/>
        <w:spacing w:after="0" w:line="240" w:lineRule="auto"/>
        <w:rPr>
          <w:rFonts w:cstheme="minorHAnsi"/>
          <w:u w:val="single"/>
        </w:rPr>
      </w:pPr>
    </w:p>
    <w:sectPr w:rsidR="005A337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0A" w:rsidRPr="00061A0A" w:rsidRDefault="00061A0A" w:rsidP="00061A0A">
    <w:pPr>
      <w:rPr>
        <w:sz w:val="24"/>
      </w:rPr>
    </w:pPr>
    <w:r w:rsidRPr="00061A0A">
      <w:rPr>
        <w:sz w:val="24"/>
      </w:rPr>
      <w:t>General Pr</w:t>
    </w:r>
    <w:r w:rsidR="00DA4EFA">
      <w:rPr>
        <w:sz w:val="24"/>
      </w:rPr>
      <w:t>actice – Fair processing notice</w:t>
    </w:r>
    <w:r w:rsidR="00DA4EFA">
      <w:rPr>
        <w:sz w:val="24"/>
      </w:rPr>
      <w:tab/>
    </w:r>
    <w:r w:rsidR="00DA4EFA">
      <w:rPr>
        <w:sz w:val="24"/>
      </w:rPr>
      <w:tab/>
    </w:r>
    <w:r w:rsidR="00DA4EFA">
      <w:rPr>
        <w:sz w:val="24"/>
      </w:rPr>
      <w:tab/>
    </w:r>
    <w:r w:rsidR="00DA4EFA">
      <w:rPr>
        <w:sz w:val="24"/>
      </w:rPr>
      <w:tab/>
      <w:t xml:space="preserve">     Reviewed Nov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10FA6"/>
    <w:rsid w:val="00537DE0"/>
    <w:rsid w:val="005527A9"/>
    <w:rsid w:val="005A226C"/>
    <w:rsid w:val="005A337A"/>
    <w:rsid w:val="005A7547"/>
    <w:rsid w:val="006A2606"/>
    <w:rsid w:val="006D4664"/>
    <w:rsid w:val="006E6552"/>
    <w:rsid w:val="007415BB"/>
    <w:rsid w:val="00910E75"/>
    <w:rsid w:val="0094400C"/>
    <w:rsid w:val="009443E5"/>
    <w:rsid w:val="009840B6"/>
    <w:rsid w:val="009A76A3"/>
    <w:rsid w:val="00A21171"/>
    <w:rsid w:val="00A779E7"/>
    <w:rsid w:val="00B31887"/>
    <w:rsid w:val="00B72010"/>
    <w:rsid w:val="00BA6481"/>
    <w:rsid w:val="00BF7BAC"/>
    <w:rsid w:val="00C764CF"/>
    <w:rsid w:val="00C76D47"/>
    <w:rsid w:val="00C90DF2"/>
    <w:rsid w:val="00D23F3D"/>
    <w:rsid w:val="00D51C68"/>
    <w:rsid w:val="00D62DD3"/>
    <w:rsid w:val="00D62F18"/>
    <w:rsid w:val="00D8076E"/>
    <w:rsid w:val="00DA4EFA"/>
    <w:rsid w:val="00DB3A91"/>
    <w:rsid w:val="00E3690F"/>
    <w:rsid w:val="00E92255"/>
    <w:rsid w:val="00EA1A51"/>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eencamelmedicalcentr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uk/conditions/nhs-screening/" TargetMode="Externa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C8D6-8B00-4241-8C26-B4E7B82C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Gould Ellen (Queen Camel Medical Centre)</cp:lastModifiedBy>
  <cp:revision>2</cp:revision>
  <dcterms:created xsi:type="dcterms:W3CDTF">2020-11-04T11:17:00Z</dcterms:created>
  <dcterms:modified xsi:type="dcterms:W3CDTF">2020-11-04T11:17:00Z</dcterms:modified>
</cp:coreProperties>
</file>