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60" w:rsidRPr="00E24D60" w:rsidRDefault="00E24D60" w:rsidP="00E24D60">
      <w:pPr>
        <w:jc w:val="center"/>
        <w:rPr>
          <w:rFonts w:ascii="Calibri" w:eastAsia="Times New Roman" w:hAnsi="Calibri" w:cs="Times New Roman"/>
          <w:color w:val="FF0000"/>
          <w:sz w:val="28"/>
        </w:rPr>
      </w:pPr>
      <w:r w:rsidRPr="00E24D60">
        <w:rPr>
          <w:rFonts w:ascii="Calibri" w:eastAsia="Times New Roman" w:hAnsi="Calibri" w:cs="Times New Roman"/>
          <w:b/>
          <w:sz w:val="28"/>
        </w:rPr>
        <w:t>Queen Camel Medical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E24D60" w:rsidRPr="00E24D60" w:rsidTr="00C24D0D">
        <w:trPr>
          <w:trHeight w:val="300"/>
        </w:trPr>
        <w:tc>
          <w:tcPr>
            <w:tcW w:w="10598" w:type="dxa"/>
            <w:gridSpan w:val="2"/>
            <w:noWrap/>
          </w:tcPr>
          <w:p w:rsidR="00E24D60" w:rsidRPr="00E24D60" w:rsidRDefault="00E24D60" w:rsidP="00E24D60">
            <w:pPr>
              <w:spacing w:after="0" w:line="240" w:lineRule="auto"/>
              <w:rPr>
                <w:rFonts w:ascii="Times New Roman" w:eastAsia="Times New Roman" w:hAnsi="Times New Roman" w:cs="Times New Roman"/>
                <w:color w:val="000000"/>
                <w:sz w:val="28"/>
                <w:szCs w:val="28"/>
                <w:lang w:eastAsia="en-GB"/>
              </w:rPr>
            </w:pPr>
          </w:p>
          <w:p w:rsidR="00E24D60" w:rsidRPr="00E24D60" w:rsidRDefault="00E24D60" w:rsidP="00E24D60">
            <w:pPr>
              <w:spacing w:after="0" w:line="240" w:lineRule="auto"/>
              <w:rPr>
                <w:rFonts w:ascii="Times New Roman" w:eastAsia="Times New Roman" w:hAnsi="Times New Roman" w:cs="Times New Roman"/>
                <w:color w:val="000000"/>
                <w:sz w:val="28"/>
                <w:szCs w:val="28"/>
                <w:lang w:eastAsia="en-GB"/>
              </w:rPr>
            </w:pPr>
          </w:p>
          <w:p w:rsidR="00E24D60" w:rsidRPr="00E24D60" w:rsidRDefault="00E24D60" w:rsidP="00E24D60">
            <w:pPr>
              <w:spacing w:after="0" w:line="240" w:lineRule="auto"/>
              <w:rPr>
                <w:rFonts w:ascii="Calibri" w:eastAsia="Times New Roman" w:hAnsi="Calibri" w:cs="Times New Roman"/>
                <w:b/>
                <w:color w:val="000000"/>
                <w:sz w:val="28"/>
                <w:szCs w:val="28"/>
                <w:lang w:eastAsia="en-GB"/>
              </w:rPr>
            </w:pPr>
            <w:r w:rsidRPr="00E24D60">
              <w:rPr>
                <w:rFonts w:ascii="Calibri" w:eastAsia="Times New Roman" w:hAnsi="Calibri" w:cs="Times New Roman"/>
                <w:b/>
                <w:color w:val="000000"/>
                <w:sz w:val="28"/>
                <w:szCs w:val="28"/>
                <w:lang w:eastAsia="en-GB"/>
              </w:rPr>
              <w:t>The records we keep to enable us to look after you</w:t>
            </w:r>
          </w:p>
          <w:p w:rsidR="00E24D60" w:rsidRPr="00E24D60" w:rsidRDefault="00E24D60" w:rsidP="00E24D60">
            <w:pPr>
              <w:spacing w:after="0" w:line="240" w:lineRule="auto"/>
              <w:rPr>
                <w:rFonts w:ascii="Times New Roman" w:eastAsia="Times New Roman" w:hAnsi="Times New Roman" w:cs="Times New Roman"/>
                <w:b/>
                <w:color w:val="000000"/>
                <w:sz w:val="28"/>
                <w:szCs w:val="28"/>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E24D60">
              <w:rPr>
                <w:rFonts w:ascii="Calibri" w:eastAsia="Times New Roman" w:hAnsi="Calibri" w:cs="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Calibri" w:hAnsi="Calibri" w:cs="Times New Roman"/>
                <w:color w:val="000000"/>
                <w:sz w:val="28"/>
                <w:szCs w:val="24"/>
                <w:lang w:eastAsia="en-GB"/>
              </w:rPr>
            </w:pPr>
            <w:r w:rsidRPr="00E24D60">
              <w:rPr>
                <w:rFonts w:ascii="Calibri" w:eastAsia="Calibri" w:hAnsi="Calibri" w:cs="Times New Roman"/>
                <w:sz w:val="28"/>
                <w:szCs w:val="28"/>
                <w:u w:val="single"/>
                <w:lang w:eastAsia="en-GB"/>
              </w:rPr>
              <w:t>When registering for NHS care, a</w:t>
            </w:r>
            <w:r w:rsidRPr="00E24D60">
              <w:rPr>
                <w:rFonts w:ascii="Calibri" w:eastAsia="Calibri" w:hAnsi="Calibri" w:cs="Times New Roman"/>
                <w:sz w:val="28"/>
                <w:szCs w:val="24"/>
                <w:lang w:eastAsia="en-GB"/>
              </w:rPr>
              <w:t>ll patients who receive NHS care are registered on a national database, the database is held by NHS Digital,</w:t>
            </w:r>
            <w:r w:rsidRPr="00E24D60">
              <w:rPr>
                <w:rFonts w:ascii="Calibri" w:eastAsia="Calibri" w:hAnsi="Calibri" w:cs="Times New Roman"/>
                <w:color w:val="FF0000"/>
                <w:sz w:val="28"/>
                <w:szCs w:val="24"/>
                <w:lang w:eastAsia="en-GB"/>
              </w:rPr>
              <w:t xml:space="preserve"> </w:t>
            </w:r>
            <w:r w:rsidRPr="00E24D60">
              <w:rPr>
                <w:rFonts w:ascii="Calibri" w:eastAsia="Calibri" w:hAnsi="Calibri" w:cs="Times New Roman"/>
                <w:sz w:val="28"/>
                <w:szCs w:val="24"/>
                <w:lang w:eastAsia="en-GB"/>
              </w:rPr>
              <w:t>a national organisation which has legal responsibilities to collect NHS</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GPs have always delegated tasks and responsibilities to others that work with them in their surgeries, on average an NHS GP has </w:t>
            </w:r>
            <w:proofErr w:type="gramStart"/>
            <w:r w:rsidRPr="00E24D60">
              <w:rPr>
                <w:rFonts w:ascii="Calibri" w:eastAsia="Times New Roman" w:hAnsi="Calibri" w:cs="Times New Roman"/>
                <w:color w:val="000000"/>
                <w:sz w:val="28"/>
                <w:szCs w:val="24"/>
                <w:lang w:eastAsia="en-GB"/>
              </w:rPr>
              <w:t>between 1,500 to 2,500 patients for whom he or she is accountable</w:t>
            </w:r>
            <w:proofErr w:type="gramEnd"/>
            <w:r w:rsidRPr="00E24D60">
              <w:rPr>
                <w:rFonts w:ascii="Calibri" w:eastAsia="Times New Roman" w:hAnsi="Calibri" w:cs="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Your consent to this sharing of data, within the practice and with those others outside the practice is assumed and is allowed by the Law. </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You have the right to object to our sharing your data in these circumstances but we have an overriding responsibility to do what is in your best interests. Please see below.</w:t>
            </w: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p>
          <w:p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We are required by Articles in the General Data Protection Regulations to provide you with the information in the following 9 subsections.</w:t>
            </w:r>
          </w:p>
          <w:p w:rsidR="00E24D60" w:rsidRPr="00E24D60" w:rsidRDefault="00E24D60" w:rsidP="00E24D60">
            <w:pPr>
              <w:spacing w:after="0" w:line="240" w:lineRule="auto"/>
              <w:rPr>
                <w:rFonts w:ascii="Times New Roman" w:eastAsia="Times New Roman" w:hAnsi="Times New Roman" w:cs="Times New Roman"/>
                <w:color w:val="000000"/>
                <w:sz w:val="24"/>
                <w:szCs w:val="24"/>
                <w:lang w:eastAsia="en-GB"/>
              </w:rPr>
            </w:pPr>
          </w:p>
          <w:p w:rsidR="00E24D60" w:rsidRPr="00E24D60" w:rsidRDefault="00E24D60" w:rsidP="00E24D60">
            <w:pPr>
              <w:spacing w:after="0" w:line="240" w:lineRule="auto"/>
              <w:rPr>
                <w:rFonts w:ascii="Times New Roman" w:eastAsia="Times New Roman" w:hAnsi="Times New Roman" w:cs="Times New Roman"/>
                <w:color w:val="000000"/>
                <w:sz w:val="24"/>
                <w:szCs w:val="24"/>
                <w:lang w:eastAsia="en-GB"/>
              </w:rPr>
            </w:pP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b/>
                <w:color w:val="000000"/>
                <w:sz w:val="24"/>
                <w:szCs w:val="24"/>
                <w:lang w:eastAsia="en-GB"/>
              </w:rPr>
            </w:pPr>
            <w:r w:rsidRPr="00E24D60">
              <w:rPr>
                <w:rFonts w:ascii="Calibri" w:eastAsia="Times New Roman" w:hAnsi="Calibri" w:cs="Times New Roman"/>
                <w:color w:val="000000"/>
                <w:sz w:val="24"/>
                <w:szCs w:val="24"/>
                <w:lang w:eastAsia="en-GB"/>
              </w:rPr>
              <w:lastRenderedPageBreak/>
              <w:t>1</w:t>
            </w:r>
            <w:r w:rsidRPr="00E24D60">
              <w:rPr>
                <w:rFonts w:ascii="Calibri" w:eastAsia="Times New Roman" w:hAnsi="Calibri" w:cs="Times New Roman"/>
                <w:b/>
                <w:color w:val="000000"/>
                <w:sz w:val="24"/>
                <w:szCs w:val="24"/>
                <w:lang w:eastAsia="en-GB"/>
              </w:rPr>
              <w:t xml:space="preserve">) Data Controller </w:t>
            </w:r>
            <w:r w:rsidRPr="00E24D60">
              <w:rPr>
                <w:rFonts w:ascii="Calibri" w:eastAsia="Times New Roman" w:hAnsi="Calibri" w:cs="Times New Roman"/>
                <w:color w:val="000000"/>
                <w:sz w:val="24"/>
                <w:szCs w:val="24"/>
                <w:lang w:eastAsia="en-GB"/>
              </w:rPr>
              <w:t>contact details</w:t>
            </w: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Queen Camel Medical Centre, West Camel Road, Queen Camel, Yeovil, Somerset, BA22 7LT</w:t>
            </w: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b/>
                <w:color w:val="000000"/>
                <w:sz w:val="24"/>
                <w:szCs w:val="24"/>
                <w:lang w:eastAsia="en-GB"/>
              </w:rPr>
              <w:t xml:space="preserve">2) Data Protection Officer </w:t>
            </w:r>
            <w:r w:rsidRPr="00E24D60">
              <w:rPr>
                <w:rFonts w:ascii="Calibri" w:eastAsia="Times New Roman" w:hAnsi="Calibri" w:cs="Times New Roman"/>
                <w:color w:val="000000"/>
                <w:sz w:val="24"/>
                <w:szCs w:val="24"/>
                <w:lang w:eastAsia="en-GB"/>
              </w:rPr>
              <w:t>contact details</w:t>
            </w: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c>
          <w:tcPr>
            <w:tcW w:w="7371" w:type="dxa"/>
            <w:noWrap/>
          </w:tcPr>
          <w:p w:rsidR="00784483" w:rsidRDefault="001070CF" w:rsidP="00784483">
            <w:pPr>
              <w:spacing w:after="0" w:line="240" w:lineRule="auto"/>
              <w:rPr>
                <w:rFonts w:ascii="Calibri" w:eastAsia="Times New Roman" w:hAnsi="Calibri" w:cs="Times New Roman"/>
                <w:color w:val="000000"/>
                <w:sz w:val="24"/>
                <w:szCs w:val="24"/>
                <w:lang w:eastAsia="en-GB"/>
              </w:rPr>
            </w:pPr>
            <w:r w:rsidRPr="001070CF">
              <w:rPr>
                <w:rFonts w:ascii="Calibri" w:eastAsia="Times New Roman" w:hAnsi="Calibri" w:cs="Times New Roman"/>
                <w:color w:val="000000"/>
                <w:sz w:val="24"/>
                <w:szCs w:val="24"/>
                <w:lang w:eastAsia="en-GB"/>
              </w:rPr>
              <w:t>Data Protection Officer (DPO)</w:t>
            </w:r>
            <w:r w:rsidRPr="001070CF">
              <w:rPr>
                <w:rFonts w:ascii="Calibri" w:eastAsia="Times New Roman" w:hAnsi="Calibri" w:cs="Times New Roman"/>
                <w:color w:val="000000"/>
                <w:sz w:val="24"/>
                <w:szCs w:val="24"/>
                <w:lang w:eastAsia="en-GB"/>
              </w:rPr>
              <w:br/>
              <w:t xml:space="preserve">Somerset </w:t>
            </w:r>
            <w:r w:rsidR="00784483">
              <w:rPr>
                <w:rFonts w:ascii="Calibri" w:eastAsia="Times New Roman" w:hAnsi="Calibri" w:cs="Times New Roman"/>
                <w:color w:val="000000"/>
                <w:sz w:val="24"/>
                <w:szCs w:val="24"/>
                <w:lang w:eastAsia="en-GB"/>
              </w:rPr>
              <w:t>Clinical Commissioning Group</w:t>
            </w:r>
            <w:r w:rsidRPr="001070CF">
              <w:rPr>
                <w:rFonts w:ascii="Calibri" w:eastAsia="Times New Roman" w:hAnsi="Calibri" w:cs="Times New Roman"/>
                <w:color w:val="000000"/>
                <w:sz w:val="24"/>
                <w:szCs w:val="24"/>
                <w:lang w:eastAsia="en-GB"/>
              </w:rPr>
              <w:br/>
            </w:r>
            <w:proofErr w:type="spellStart"/>
            <w:r w:rsidR="00784483">
              <w:rPr>
                <w:rFonts w:ascii="Calibri" w:eastAsia="Times New Roman" w:hAnsi="Calibri" w:cs="Times New Roman"/>
                <w:color w:val="000000"/>
                <w:sz w:val="24"/>
                <w:szCs w:val="24"/>
                <w:lang w:eastAsia="en-GB"/>
              </w:rPr>
              <w:t>Wynford</w:t>
            </w:r>
            <w:proofErr w:type="spellEnd"/>
            <w:r w:rsidR="00784483">
              <w:rPr>
                <w:rFonts w:ascii="Calibri" w:eastAsia="Times New Roman" w:hAnsi="Calibri" w:cs="Times New Roman"/>
                <w:color w:val="000000"/>
                <w:sz w:val="24"/>
                <w:szCs w:val="24"/>
                <w:lang w:eastAsia="en-GB"/>
              </w:rPr>
              <w:t xml:space="preserve"> House</w:t>
            </w:r>
          </w:p>
          <w:p w:rsidR="00784483" w:rsidRDefault="00784483" w:rsidP="00784483">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Yeovil </w:t>
            </w:r>
          </w:p>
          <w:p w:rsidR="00E24D60" w:rsidRPr="00E24D60" w:rsidRDefault="001070CF" w:rsidP="00784483">
            <w:pPr>
              <w:spacing w:after="0" w:line="240" w:lineRule="auto"/>
              <w:rPr>
                <w:rFonts w:ascii="Calibri" w:eastAsia="Times New Roman" w:hAnsi="Calibri" w:cs="Times New Roman"/>
                <w:color w:val="000000"/>
                <w:sz w:val="24"/>
                <w:szCs w:val="24"/>
                <w:lang w:eastAsia="en-GB"/>
              </w:rPr>
            </w:pPr>
            <w:r w:rsidRPr="001070CF">
              <w:rPr>
                <w:rFonts w:ascii="Calibri" w:eastAsia="Times New Roman" w:hAnsi="Calibri" w:cs="Times New Roman"/>
                <w:color w:val="000000"/>
                <w:sz w:val="24"/>
                <w:szCs w:val="24"/>
                <w:lang w:eastAsia="en-GB"/>
              </w:rPr>
              <w:t>Somerset</w:t>
            </w:r>
            <w:r w:rsidRPr="001070CF">
              <w:rPr>
                <w:rFonts w:ascii="Calibri" w:eastAsia="Times New Roman" w:hAnsi="Calibri" w:cs="Times New Roman"/>
                <w:color w:val="000000"/>
                <w:sz w:val="24"/>
                <w:szCs w:val="24"/>
                <w:lang w:eastAsia="en-GB"/>
              </w:rPr>
              <w:br/>
            </w:r>
            <w:r w:rsidR="00784483">
              <w:rPr>
                <w:rFonts w:ascii="Calibri" w:eastAsia="Times New Roman" w:hAnsi="Calibri" w:cs="Times New Roman"/>
                <w:color w:val="000000"/>
                <w:sz w:val="24"/>
                <w:szCs w:val="24"/>
                <w:lang w:eastAsia="en-GB"/>
              </w:rPr>
              <w:t>BA22 8HR</w:t>
            </w:r>
            <w:r w:rsidRPr="001070CF">
              <w:rPr>
                <w:rFonts w:ascii="Calibri" w:eastAsia="Times New Roman" w:hAnsi="Calibri" w:cs="Times New Roman"/>
                <w:color w:val="000000"/>
                <w:sz w:val="24"/>
                <w:szCs w:val="24"/>
                <w:lang w:eastAsia="en-GB"/>
              </w:rPr>
              <w:br/>
              <w:t xml:space="preserve">email: </w:t>
            </w:r>
            <w:r w:rsidR="00784483">
              <w:rPr>
                <w:rFonts w:ascii="Calibri" w:eastAsia="Times New Roman" w:hAnsi="Calibri" w:cs="Times New Roman"/>
                <w:color w:val="000000"/>
                <w:sz w:val="24"/>
                <w:szCs w:val="24"/>
                <w:lang w:eastAsia="en-GB"/>
              </w:rPr>
              <w:t>kevin.caldwell1@nhs.net</w:t>
            </w:r>
          </w:p>
        </w:tc>
      </w:tr>
      <w:tr w:rsidR="00E24D60" w:rsidRPr="00E24D60" w:rsidTr="00C24D0D">
        <w:trPr>
          <w:trHeight w:val="2584"/>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3) </w:t>
            </w:r>
            <w:r w:rsidRPr="00E24D60">
              <w:rPr>
                <w:rFonts w:ascii="Calibri" w:eastAsia="Times New Roman" w:hAnsi="Calibri" w:cs="Times New Roman"/>
                <w:b/>
                <w:color w:val="000000"/>
                <w:sz w:val="24"/>
                <w:szCs w:val="24"/>
                <w:lang w:eastAsia="en-GB"/>
              </w:rPr>
              <w:t>Purpose</w:t>
            </w:r>
            <w:r w:rsidRPr="00E24D60">
              <w:rPr>
                <w:rFonts w:ascii="Calibri" w:eastAsia="Times New Roman" w:hAnsi="Calibri" w:cs="Times New Roman"/>
                <w:color w:val="000000"/>
                <w:sz w:val="24"/>
                <w:szCs w:val="24"/>
                <w:lang w:eastAsia="en-GB"/>
              </w:rPr>
              <w:t xml:space="preserve"> of the  processing</w:t>
            </w: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4) </w:t>
            </w:r>
            <w:r w:rsidRPr="00E24D60">
              <w:rPr>
                <w:rFonts w:ascii="Calibri" w:eastAsia="Times New Roman" w:hAnsi="Calibri" w:cs="Times New Roman"/>
                <w:b/>
                <w:color w:val="000000"/>
                <w:sz w:val="24"/>
                <w:szCs w:val="24"/>
                <w:lang w:eastAsia="en-GB"/>
              </w:rPr>
              <w:t>Lawful basis</w:t>
            </w:r>
            <w:r w:rsidRPr="00E24D60">
              <w:rPr>
                <w:rFonts w:ascii="Calibri" w:eastAsia="Times New Roman" w:hAnsi="Calibri" w:cs="Times New Roman"/>
                <w:color w:val="000000"/>
                <w:sz w:val="24"/>
                <w:szCs w:val="24"/>
                <w:lang w:eastAsia="en-GB"/>
              </w:rPr>
              <w:t xml:space="preserve"> for  processing</w:t>
            </w:r>
          </w:p>
        </w:tc>
        <w:tc>
          <w:tcPr>
            <w:tcW w:w="7371" w:type="dxa"/>
            <w:noWrap/>
          </w:tcPr>
          <w:p w:rsidR="00E24D60" w:rsidRPr="00E24D60" w:rsidRDefault="00E24D60" w:rsidP="00E24D60">
            <w:pPr>
              <w:rPr>
                <w:rFonts w:ascii="Calibri" w:eastAsia="Times New Roman" w:hAnsi="Calibri" w:cs="Times New Roman"/>
                <w:color w:val="000000"/>
                <w:sz w:val="24"/>
                <w:szCs w:val="24"/>
                <w:lang w:eastAsia="en-GB"/>
              </w:rPr>
            </w:pPr>
            <w:r w:rsidRPr="00E24D60">
              <w:rPr>
                <w:rFonts w:ascii="Calibri" w:eastAsia="Times New Roman" w:hAnsi="Calibri" w:cs="Times New Roman"/>
                <w:sz w:val="24"/>
                <w:szCs w:val="24"/>
              </w:rPr>
              <w:t xml:space="preserve">The processing of personal data in the delivery of direct care and for providers’ administrative purposes in this surgery and in support of direct care elsewhere </w:t>
            </w:r>
            <w:r w:rsidRPr="00E24D60">
              <w:rPr>
                <w:rFonts w:ascii="Calibri" w:eastAsia="Times New Roman" w:hAnsi="Calibri" w:cs="Times New Roman"/>
                <w:color w:val="000000"/>
                <w:sz w:val="24"/>
                <w:szCs w:val="24"/>
                <w:lang w:eastAsia="en-GB"/>
              </w:rPr>
              <w:t xml:space="preserve"> is supported under the following Article 6 and 9 conditions of the GDPR:</w:t>
            </w:r>
          </w:p>
          <w:p w:rsidR="00E24D60" w:rsidRPr="00E24D60" w:rsidRDefault="00E24D60" w:rsidP="00E24D60">
            <w:pPr>
              <w:ind w:left="720"/>
              <w:rPr>
                <w:rFonts w:ascii="Calibri" w:eastAsia="Times New Roman" w:hAnsi="Calibri" w:cs="Times New Roman"/>
                <w:i/>
                <w:sz w:val="24"/>
                <w:szCs w:val="24"/>
              </w:rPr>
            </w:pPr>
            <w:r w:rsidRPr="00E24D60">
              <w:rPr>
                <w:rFonts w:ascii="Calibri" w:eastAsia="Times New Roman" w:hAnsi="Calibri" w:cs="Times New Roman"/>
                <w:i/>
                <w:color w:val="000000"/>
                <w:sz w:val="24"/>
                <w:szCs w:val="24"/>
                <w:lang w:eastAsia="en-GB"/>
              </w:rPr>
              <w:t xml:space="preserve">Article </w:t>
            </w:r>
            <w:r w:rsidRPr="00E24D60">
              <w:rPr>
                <w:rFonts w:ascii="Calibri" w:eastAsia="Times New Roman" w:hAnsi="Calibri" w:cs="Times New Roman"/>
                <w:i/>
                <w:sz w:val="24"/>
                <w:szCs w:val="24"/>
              </w:rPr>
              <w:t>6(1</w:t>
            </w:r>
            <w:proofErr w:type="gramStart"/>
            <w:r w:rsidRPr="00E24D60">
              <w:rPr>
                <w:rFonts w:ascii="Calibri" w:eastAsia="Times New Roman" w:hAnsi="Calibri" w:cs="Times New Roman"/>
                <w:i/>
                <w:sz w:val="24"/>
                <w:szCs w:val="24"/>
              </w:rPr>
              <w:t>)(</w:t>
            </w:r>
            <w:proofErr w:type="gramEnd"/>
            <w:r w:rsidRPr="00E24D60">
              <w:rPr>
                <w:rFonts w:ascii="Calibri" w:eastAsia="Times New Roman" w:hAnsi="Calibri" w:cs="Times New Roman"/>
                <w:i/>
                <w:sz w:val="24"/>
                <w:szCs w:val="24"/>
              </w:rPr>
              <w:t>e) ‘…necessary for the performance of a task carried out in the public interest or in the exercise of official authority…’.</w:t>
            </w:r>
          </w:p>
          <w:p w:rsidR="00E24D60" w:rsidRPr="00E24D60" w:rsidRDefault="00E24D60" w:rsidP="00E24D60">
            <w:pPr>
              <w:spacing w:after="0" w:line="240" w:lineRule="auto"/>
              <w:ind w:left="720"/>
              <w:rPr>
                <w:rFonts w:ascii="Calibri" w:eastAsia="Times New Roman" w:hAnsi="Calibri" w:cs="Times New Roman"/>
                <w:i/>
                <w:color w:val="000000"/>
                <w:sz w:val="24"/>
                <w:szCs w:val="24"/>
              </w:rPr>
            </w:pPr>
            <w:r w:rsidRPr="00E24D60">
              <w:rPr>
                <w:rFonts w:ascii="Calibri" w:eastAsia="Times New Roman" w:hAnsi="Calibri" w:cs="Times New Roman"/>
                <w:i/>
                <w:color w:val="000000"/>
                <w:sz w:val="24"/>
                <w:szCs w:val="24"/>
                <w:lang w:eastAsia="en-GB"/>
              </w:rPr>
              <w:t>Article 9(2)(h)</w:t>
            </w:r>
            <w:r w:rsidRPr="00E24D60">
              <w:rPr>
                <w:rFonts w:ascii="Calibri" w:eastAsia="Times New Roman" w:hAnsi="Calibri" w:cs="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24D60" w:rsidRPr="00E24D60" w:rsidRDefault="00E24D60" w:rsidP="00E24D60">
            <w:pPr>
              <w:spacing w:after="0" w:line="240" w:lineRule="auto"/>
              <w:rPr>
                <w:rFonts w:ascii="Calibri" w:eastAsia="Times New Roman" w:hAnsi="Calibri" w:cs="Times New Roman"/>
                <w:color w:val="000000"/>
                <w:sz w:val="24"/>
                <w:szCs w:val="24"/>
              </w:rPr>
            </w:pP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rPr>
              <w:t>Organisations and their employees will also respect and comply with their obligations under the common law duty of confidence</w:t>
            </w: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5) </w:t>
            </w:r>
            <w:r w:rsidRPr="00E24D60">
              <w:rPr>
                <w:rFonts w:ascii="Calibri" w:eastAsia="Times New Roman" w:hAnsi="Calibri" w:cs="Times New Roman"/>
                <w:b/>
                <w:color w:val="000000"/>
                <w:sz w:val="24"/>
                <w:szCs w:val="24"/>
                <w:lang w:eastAsia="en-GB"/>
              </w:rPr>
              <w:t xml:space="preserve">Recipient or categories of recipients </w:t>
            </w:r>
            <w:r w:rsidRPr="00E24D60">
              <w:rPr>
                <w:rFonts w:ascii="Calibri" w:eastAsia="Times New Roman" w:hAnsi="Calibri" w:cs="Times New Roman"/>
                <w:color w:val="000000"/>
                <w:sz w:val="24"/>
                <w:szCs w:val="24"/>
                <w:lang w:eastAsia="en-GB"/>
              </w:rPr>
              <w:t>of the processed data</w:t>
            </w: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6) </w:t>
            </w:r>
            <w:r w:rsidRPr="00E24D60">
              <w:rPr>
                <w:rFonts w:ascii="Calibri" w:eastAsia="Times New Roman" w:hAnsi="Calibri" w:cs="Times New Roman"/>
                <w:b/>
                <w:color w:val="000000"/>
                <w:sz w:val="24"/>
                <w:szCs w:val="24"/>
                <w:lang w:eastAsia="en-GB"/>
              </w:rPr>
              <w:t>Rights to object</w:t>
            </w:r>
            <w:r w:rsidRPr="00E24D60">
              <w:rPr>
                <w:rFonts w:ascii="Calibri" w:eastAsia="Times New Roman" w:hAnsi="Calibri" w:cs="Times New Roman"/>
                <w:color w:val="000000"/>
                <w:sz w:val="24"/>
                <w:szCs w:val="24"/>
                <w:lang w:eastAsia="en-GB"/>
              </w:rPr>
              <w:t xml:space="preserve"> </w:t>
            </w: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7) </w:t>
            </w:r>
            <w:r w:rsidRPr="00E24D60">
              <w:rPr>
                <w:rFonts w:ascii="Calibri" w:eastAsia="Times New Roman" w:hAnsi="Calibri" w:cs="Times New Roman"/>
                <w:b/>
                <w:color w:val="000000"/>
                <w:sz w:val="24"/>
                <w:szCs w:val="24"/>
                <w:lang w:eastAsia="en-GB"/>
              </w:rPr>
              <w:t>Right to access and correct</w:t>
            </w: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You have the right to access the data that is being shared and have any </w:t>
            </w:r>
            <w:r w:rsidRPr="00E24D60">
              <w:rPr>
                <w:rFonts w:ascii="Calibri" w:eastAsia="Times New Roman" w:hAnsi="Calibri" w:cs="Times New Roman"/>
                <w:color w:val="000000"/>
                <w:sz w:val="24"/>
                <w:szCs w:val="24"/>
                <w:lang w:eastAsia="en-GB"/>
              </w:rPr>
              <w:lastRenderedPageBreak/>
              <w:t>inaccuracies corrected. There is no right to have accurate medical records deleted except when ordered by a court of Law.</w:t>
            </w: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lastRenderedPageBreak/>
              <w:t>8</w:t>
            </w:r>
            <w:r w:rsidRPr="00E24D60">
              <w:rPr>
                <w:rFonts w:ascii="Calibri" w:eastAsia="Times New Roman" w:hAnsi="Calibri" w:cs="Times New Roman"/>
                <w:b/>
                <w:color w:val="000000"/>
                <w:sz w:val="24"/>
                <w:szCs w:val="24"/>
                <w:lang w:eastAsia="en-GB"/>
              </w:rPr>
              <w:t>) Retention period</w:t>
            </w:r>
            <w:r w:rsidRPr="00E24D60">
              <w:rPr>
                <w:rFonts w:ascii="Calibri" w:eastAsia="Times New Roman" w:hAnsi="Calibri" w:cs="Times New Roman"/>
                <w:color w:val="000000"/>
                <w:sz w:val="24"/>
                <w:szCs w:val="24"/>
                <w:lang w:eastAsia="en-GB"/>
              </w:rPr>
              <w:t xml:space="preserve"> </w:t>
            </w:r>
          </w:p>
        </w:tc>
        <w:tc>
          <w:tcPr>
            <w:tcW w:w="7371" w:type="dxa"/>
            <w:noWrap/>
          </w:tcPr>
          <w:p w:rsidR="00E24D60" w:rsidRPr="00E24D60" w:rsidRDefault="00E24D60" w:rsidP="00E24D60">
            <w:pPr>
              <w:spacing w:after="0" w:line="240" w:lineRule="auto"/>
              <w:rPr>
                <w:rFonts w:ascii="Calibri" w:eastAsia="Times New Roman" w:hAnsi="Calibri" w:cs="Calibri"/>
                <w:lang w:eastAsia="en-GB"/>
              </w:rPr>
            </w:pPr>
            <w:r w:rsidRPr="00E24D60">
              <w:rPr>
                <w:rFonts w:ascii="Calibri" w:eastAsia="Times New Roman" w:hAnsi="Calibri" w:cs="Times New Roman"/>
                <w:color w:val="000000"/>
                <w:sz w:val="24"/>
                <w:szCs w:val="24"/>
                <w:lang w:eastAsia="en-GB"/>
              </w:rPr>
              <w:t xml:space="preserve">The data will be retained in line with the law and national guidance. </w:t>
            </w:r>
            <w:r w:rsidRPr="00E24D60">
              <w:rPr>
                <w:rFonts w:ascii="Calibri" w:eastAsia="Times New Roman" w:hAnsi="Calibri" w:cs="Calibri"/>
                <w:lang w:eastAsia="en-GB"/>
              </w:rPr>
              <w:t xml:space="preserve">https://digital.nhs.uk/article/1202/Records-Management-Code-of-Practice-for-Health-and-Social-Care-2016 </w:t>
            </w:r>
          </w:p>
          <w:p w:rsidR="00E24D60" w:rsidRPr="00E24D60" w:rsidRDefault="00E24D60" w:rsidP="00E24D60">
            <w:pPr>
              <w:spacing w:after="0" w:line="240" w:lineRule="auto"/>
              <w:rPr>
                <w:rFonts w:ascii="Calibri" w:eastAsia="Times New Roman" w:hAnsi="Calibri" w:cs="Times New Roman"/>
              </w:rPr>
            </w:pPr>
            <w:proofErr w:type="gramStart"/>
            <w:r w:rsidRPr="00E24D60">
              <w:rPr>
                <w:rFonts w:ascii="Calibri" w:eastAsia="Times New Roman" w:hAnsi="Calibri" w:cs="Calibri"/>
                <w:lang w:eastAsia="en-GB"/>
              </w:rPr>
              <w:t>or</w:t>
            </w:r>
            <w:proofErr w:type="gramEnd"/>
            <w:r w:rsidRPr="00E24D60">
              <w:rPr>
                <w:rFonts w:ascii="Calibri" w:eastAsia="Times New Roman" w:hAnsi="Calibri" w:cs="Calibri"/>
                <w:lang w:eastAsia="en-GB"/>
              </w:rPr>
              <w:t xml:space="preserve"> speak to the practice.</w:t>
            </w: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r>
      <w:tr w:rsidR="00E24D60" w:rsidRPr="00E24D60" w:rsidTr="00C24D0D">
        <w:trPr>
          <w:trHeight w:val="300"/>
        </w:trPr>
        <w:tc>
          <w:tcPr>
            <w:tcW w:w="3227"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9)  </w:t>
            </w:r>
            <w:r w:rsidRPr="00E24D60">
              <w:rPr>
                <w:rFonts w:ascii="Calibri" w:eastAsia="Times New Roman" w:hAnsi="Calibri" w:cs="Times New Roman"/>
                <w:b/>
                <w:color w:val="000000"/>
                <w:sz w:val="24"/>
                <w:szCs w:val="24"/>
                <w:lang w:eastAsia="en-GB"/>
              </w:rPr>
              <w:t>Right to Complain</w:t>
            </w:r>
            <w:r w:rsidRPr="00E24D60">
              <w:rPr>
                <w:rFonts w:ascii="Calibri" w:eastAsia="Times New Roman" w:hAnsi="Calibri" w:cs="Times New Roman"/>
                <w:color w:val="000000"/>
                <w:sz w:val="24"/>
                <w:szCs w:val="24"/>
                <w:lang w:eastAsia="en-GB"/>
              </w:rPr>
              <w:t xml:space="preserve">. </w:t>
            </w:r>
          </w:p>
        </w:tc>
        <w:tc>
          <w:tcPr>
            <w:tcW w:w="7371" w:type="dxa"/>
            <w:noWrap/>
          </w:tcPr>
          <w:p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You have the right to complain to the Information Commissioner’s Office, you can use this link</w:t>
            </w:r>
            <w:r w:rsidRPr="00E24D60">
              <w:rPr>
                <w:rFonts w:ascii="Calibri" w:eastAsia="Times New Roman" w:hAnsi="Calibri" w:cs="Times New Roman"/>
                <w:sz w:val="24"/>
              </w:rPr>
              <w:t xml:space="preserve"> </w:t>
            </w:r>
            <w:hyperlink r:id="rId7" w:history="1">
              <w:r w:rsidRPr="00E24D60">
                <w:rPr>
                  <w:rFonts w:ascii="Calibri" w:eastAsia="Times New Roman" w:hAnsi="Calibri" w:cs="Times New Roman"/>
                  <w:color w:val="0000FF"/>
                  <w:sz w:val="24"/>
                  <w:szCs w:val="24"/>
                  <w:u w:val="single"/>
                  <w:lang w:eastAsia="en-GB"/>
                </w:rPr>
                <w:t>https://ico.org.uk/global/contact-us/</w:t>
              </w:r>
            </w:hyperlink>
            <w:r w:rsidRPr="00E24D60">
              <w:rPr>
                <w:rFonts w:ascii="Calibri" w:eastAsia="Times New Roman" w:hAnsi="Calibri" w:cs="Times New Roman"/>
                <w:color w:val="000000"/>
                <w:sz w:val="24"/>
                <w:szCs w:val="24"/>
                <w:lang w:eastAsia="en-GB"/>
              </w:rPr>
              <w:t xml:space="preserve">  </w:t>
            </w:r>
          </w:p>
          <w:p w:rsidR="00E24D60" w:rsidRPr="00E24D60" w:rsidRDefault="00E24D60" w:rsidP="00E24D60">
            <w:pPr>
              <w:spacing w:after="0" w:line="240" w:lineRule="auto"/>
              <w:rPr>
                <w:rFonts w:ascii="Calibri" w:eastAsia="Times New Roman" w:hAnsi="Calibri" w:cs="Times New Roman"/>
                <w:color w:val="000000"/>
                <w:sz w:val="24"/>
                <w:szCs w:val="24"/>
                <w:lang w:eastAsia="en-GB"/>
              </w:rPr>
            </w:pPr>
          </w:p>
          <w:p w:rsidR="00E24D60" w:rsidRPr="00E24D60" w:rsidRDefault="00E24D60" w:rsidP="00E24D60">
            <w:pPr>
              <w:shd w:val="clear" w:color="auto" w:fill="FFFFFF"/>
              <w:spacing w:after="24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or calling their helpline Tel: 0303 123 1113 (local rate) or 01625 545 745 (national rate) </w:t>
            </w:r>
          </w:p>
          <w:p w:rsidR="00E24D60" w:rsidRPr="00E24D60" w:rsidRDefault="00E24D60" w:rsidP="00E24D60">
            <w:pPr>
              <w:shd w:val="clear" w:color="auto" w:fill="FFFFFF"/>
              <w:spacing w:after="24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There are National Offices for Scotland, Northern Ireland and Wales, (see ICO website)</w:t>
            </w:r>
          </w:p>
        </w:tc>
      </w:tr>
    </w:tbl>
    <w:p w:rsidR="00E24D60" w:rsidRPr="00E24D60" w:rsidRDefault="00E24D60" w:rsidP="00E24D60">
      <w:pPr>
        <w:rPr>
          <w:rFonts w:ascii="Calibri" w:eastAsia="Times New Roman" w:hAnsi="Calibri" w:cs="Times New Roman"/>
        </w:rPr>
      </w:pPr>
    </w:p>
    <w:p w:rsidR="00A35CF3" w:rsidRDefault="00784483"/>
    <w:sectPr w:rsidR="00A35CF3" w:rsidSect="003902E4">
      <w:headerReference w:type="even" r:id="rId8"/>
      <w:headerReference w:type="default" r:id="rId9"/>
      <w:footerReference w:type="even" r:id="rId10"/>
      <w:footerReference w:type="default" r:id="rId11"/>
      <w:headerReference w:type="first" r:id="rId12"/>
      <w:foot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AD" w:rsidRDefault="001070CF">
      <w:pPr>
        <w:spacing w:after="0" w:line="240" w:lineRule="auto"/>
      </w:pPr>
      <w:r>
        <w:separator/>
      </w:r>
    </w:p>
  </w:endnote>
  <w:endnote w:type="continuationSeparator" w:id="0">
    <w:p w:rsidR="004263AD" w:rsidRDefault="0010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83" w:rsidRDefault="00784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83" w:rsidRDefault="00784483">
    <w:pPr>
      <w:pStyle w:val="Footer"/>
    </w:pPr>
    <w:r>
      <w:t>Updated: August 2019</w:t>
    </w:r>
  </w:p>
  <w:p w:rsidR="00784483" w:rsidRDefault="0078448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83" w:rsidRDefault="00784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AD" w:rsidRDefault="001070CF">
      <w:pPr>
        <w:spacing w:after="0" w:line="240" w:lineRule="auto"/>
      </w:pPr>
      <w:r>
        <w:separator/>
      </w:r>
    </w:p>
  </w:footnote>
  <w:footnote w:type="continuationSeparator" w:id="0">
    <w:p w:rsidR="004263AD" w:rsidRDefault="0010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B6" w:rsidRDefault="00784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B6" w:rsidRPr="00CA7472" w:rsidRDefault="00E24D60"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B6" w:rsidRDefault="00784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0"/>
    <w:rsid w:val="001070CF"/>
    <w:rsid w:val="00323B3A"/>
    <w:rsid w:val="004263AD"/>
    <w:rsid w:val="00784483"/>
    <w:rsid w:val="00B16CD5"/>
    <w:rsid w:val="00E2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D60"/>
  </w:style>
  <w:style w:type="character" w:styleId="Hyperlink">
    <w:name w:val="Hyperlink"/>
    <w:basedOn w:val="DefaultParagraphFont"/>
    <w:uiPriority w:val="99"/>
    <w:unhideWhenUsed/>
    <w:rsid w:val="001070CF"/>
    <w:rPr>
      <w:color w:val="0000FF" w:themeColor="hyperlink"/>
      <w:u w:val="single"/>
    </w:rPr>
  </w:style>
  <w:style w:type="paragraph" w:styleId="Footer">
    <w:name w:val="footer"/>
    <w:basedOn w:val="Normal"/>
    <w:link w:val="FooterChar"/>
    <w:uiPriority w:val="99"/>
    <w:unhideWhenUsed/>
    <w:rsid w:val="007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D60"/>
  </w:style>
  <w:style w:type="character" w:styleId="Hyperlink">
    <w:name w:val="Hyperlink"/>
    <w:basedOn w:val="DefaultParagraphFont"/>
    <w:uiPriority w:val="99"/>
    <w:unhideWhenUsed/>
    <w:rsid w:val="001070CF"/>
    <w:rPr>
      <w:color w:val="0000FF" w:themeColor="hyperlink"/>
      <w:u w:val="single"/>
    </w:rPr>
  </w:style>
  <w:style w:type="paragraph" w:styleId="Footer">
    <w:name w:val="footer"/>
    <w:basedOn w:val="Normal"/>
    <w:link w:val="FooterChar"/>
    <w:uiPriority w:val="99"/>
    <w:unhideWhenUsed/>
    <w:rsid w:val="007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Bickerton Linda (Queen Camel Medical Centre)</dc:creator>
  <cp:lastModifiedBy>Bickerton Linda (Queen Camel Medical Centre)</cp:lastModifiedBy>
  <cp:revision>2</cp:revision>
  <dcterms:created xsi:type="dcterms:W3CDTF">2019-08-27T09:37:00Z</dcterms:created>
  <dcterms:modified xsi:type="dcterms:W3CDTF">2019-08-27T09:37:00Z</dcterms:modified>
</cp:coreProperties>
</file>